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6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tbl>
      <w:tblPr>
        <w:tblStyle w:val="7"/>
        <w:tblpPr w:leftFromText="180" w:rightFromText="180" w:vertAnchor="text" w:horzAnchor="page" w:tblpX="1092" w:tblpY="93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893"/>
        <w:gridCol w:w="1822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材料规格名称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I型次氯酸钙（漂粉精）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中石化品牌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供应商提供的货物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钠法I型次氯酸钙（漂粉精）有效氯以CL计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70%（产品相关指标符合国家标准《GB/T 10666-2019次氯酸钙（漂粉精）》的规定）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p>
      <w:pPr>
        <w:pStyle w:val="2"/>
      </w:pPr>
    </w:p>
    <w:p>
      <w:pPr>
        <w:pStyle w:val="2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556166E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7416698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2024-01-24T00:28:15Z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FCF3C01C0003436F91AFC8D5B328E6D9_13</vt:lpwstr>
  </property>
</Properties>
</file>